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w:t>
      </w:r>
      <w:r w:rsidDel="00000000" w:rsidR="00000000" w:rsidRPr="00000000">
        <w:rPr>
          <w:rFonts w:ascii="Arial" w:cs="Arial" w:eastAsia="Arial" w:hAnsi="Arial"/>
          <w:sz w:val="24"/>
          <w:szCs w:val="24"/>
          <w:rtl w:val="0"/>
        </w:rPr>
        <w:t xml:space="preserve">to award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Call Off Contract; and</w:t>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at Framework le</w:t>
      </w:r>
      <w:r w:rsidDel="00000000" w:rsidR="00000000" w:rsidRPr="00000000">
        <w:rPr>
          <w:rFonts w:ascii="Arial" w:cs="Arial" w:eastAsia="Arial" w:hAnsi="Arial"/>
          <w:sz w:val="24"/>
          <w:szCs w:val="24"/>
          <w:rtl w:val="0"/>
        </w:rPr>
        <w:t xml:space="preserve">vel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except as in accordance with this Schedule.</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w:t>
      </w:r>
      <w:r w:rsidDel="00000000" w:rsidR="00000000" w:rsidRPr="00000000">
        <w:rPr>
          <w:rFonts w:ascii="Arial" w:cs="Arial" w:eastAsia="Arial" w:hAnsi="Arial"/>
          <w:sz w:val="24"/>
          <w:szCs w:val="24"/>
          <w:rtl w:val="0"/>
        </w:rPr>
        <w:t xml:space="preserve">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Charges: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w:t>
      </w:r>
      <w:r w:rsidDel="00000000" w:rsidR="00000000" w:rsidRPr="00000000">
        <w:rPr>
          <w:rFonts w:ascii="Arial" w:cs="Arial" w:eastAsia="Arial" w:hAnsi="Arial"/>
          <w:sz w:val="24"/>
          <w:szCs w:val="24"/>
          <w:rtl w:val="0"/>
        </w:rPr>
        <w:t xml:space="preserve">Call-Off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bookmarkStart w:colFirst="0" w:colLast="0" w:name="bookmark=id.3znysh7" w:id="2"/>
    <w:bookmarkEnd w:id="2"/>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included in the Framework Prices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w:t>
      </w:r>
      <w:r w:rsidDel="00000000" w:rsidR="00000000" w:rsidRPr="00000000">
        <w:rPr>
          <w:rFonts w:ascii="Arial" w:cs="Arial" w:eastAsia="Arial" w:hAnsi="Arial"/>
          <w:sz w:val="24"/>
          <w:szCs w:val="24"/>
          <w:rtl w:val="0"/>
        </w:rPr>
        <w:t xml:space="preserve">until April 1st 2024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Framework price increases shall not automatically trigger Call-Off Contract price increases. Any Call-Off Contract price increases shall be considered between the Supplier and Buyer.</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breakdown of the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profit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and cost components that comprise the relevant Framework Price including but not limited to: </w:t>
      </w:r>
      <w:r w:rsidDel="00000000" w:rsidR="00000000" w:rsidRPr="00000000">
        <w:rPr>
          <w:rFonts w:ascii="Arial" w:cs="Arial" w:eastAsia="Arial" w:hAnsi="Arial"/>
          <w:sz w:val="24"/>
          <w:szCs w:val="24"/>
          <w:rtl w:val="0"/>
        </w:rPr>
        <w:t xml:space="preserve">vehicle acquisition costs; vehicle service, maintenance and repair costs; labour costs; energy costs; fuel costs; other supply costs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details of the movement in the different identified cost components of the relevant Framework Price;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reasons for the movement in the different identified cost components of the relevant Framework Price;</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Supplier’s profit component of the relevant  Framework Price is no greater than that applying to Framework Prices using the same pricing mechanism as at the Contract Commencement Date.</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0" w:right="0" w:hanging="17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CCS shall consider each request for a price increase. CCS may grant </w:t>
      </w:r>
      <w:r w:rsidDel="00000000" w:rsidR="00000000" w:rsidRPr="00000000">
        <w:rPr>
          <w:rFonts w:ascii="Arial" w:cs="Arial" w:eastAsia="Arial" w:hAnsi="Arial"/>
          <w:sz w:val="24"/>
          <w:szCs w:val="24"/>
          <w:highlight w:val="white"/>
          <w:rtl w:val="0"/>
        </w:rPr>
        <w:t xml:space="preserve">a</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pproval to an increase at its sole discretion.</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at the discretion of CCS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rPr>
          <w:rFonts w:ascii="Arial" w:cs="Arial" w:eastAsia="Arial" w:hAnsi="Arial"/>
          <w:b w:val="1"/>
          <w:sz w:val="36"/>
          <w:szCs w:val="36"/>
        </w:rPr>
      </w:pPr>
      <w:bookmarkStart w:colFirst="0" w:colLast="0" w:name="_heading=h.1t3h5sf" w:id="5"/>
      <w:bookmarkEnd w:id="5"/>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r w:rsidDel="00000000" w:rsidR="00000000" w:rsidRPr="00000000">
        <w:rPr>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Fixed Prices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below shall [not] be subject to variation by way of Indexation</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[supplier pricing file]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30">
      <w:pPr>
        <w:rPr>
          <w:rFonts w:ascii="Arial" w:cs="Arial" w:eastAsia="Arial" w:hAnsi="Arial"/>
          <w:b w:val="1"/>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w:t>
      <w:tab/>
      <w:t xml:space="preserve">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lMms1/7FyRvtDwIxdZK8fhJidg==">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2018-06-14T15:09:00Z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